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URW Gothic" w:hAnsi="URW Gothic"/>
          <w:b/>
          <w:b/>
          <w:bCs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1782445</wp:posOffset>
            </wp:positionH>
            <wp:positionV relativeFrom="paragraph">
              <wp:posOffset>635</wp:posOffset>
            </wp:positionV>
            <wp:extent cx="495935" cy="4483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RW Gothic" w:hAnsi="URW Gothic"/>
          <w:b/>
          <w:bCs/>
          <w:sz w:val="24"/>
          <w:szCs w:val="24"/>
        </w:rPr>
        <w:tab/>
        <w:tab/>
        <w:tab/>
        <w:tab/>
        <w:t>Fiche d’inscription au stage CNV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4"/>
          <w:szCs w:val="24"/>
        </w:rPr>
      </w:pPr>
      <w:r>
        <w:rPr>
          <w:rFonts w:ascii="URW Gothic" w:hAnsi="URW Gothic"/>
          <w:b/>
          <w:bCs/>
          <w:sz w:val="24"/>
          <w:szCs w:val="24"/>
        </w:rPr>
        <w:t xml:space="preserve">     </w:t>
      </w:r>
      <w:r>
        <w:rPr>
          <w:rFonts w:ascii="URW Gothic" w:hAnsi="URW Gothic"/>
          <w:b/>
          <w:bCs/>
          <w:sz w:val="24"/>
          <w:szCs w:val="24"/>
        </w:rPr>
        <w:tab/>
        <w:tab/>
        <w:tab/>
        <w:tab/>
        <w:t>du 09 au 17 février 2026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4"/>
          <w:szCs w:val="24"/>
        </w:rPr>
      </w:pPr>
      <w:r>
        <w:rPr>
          <w:rFonts w:ascii="URW Gothic" w:hAnsi="URW Gothic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URW Gothic" w:hAnsi="URW Gothic"/>
          <w:b w:val="false"/>
          <w:bCs w:val="false"/>
          <w:i/>
          <w:iCs/>
          <w:color w:val="C9211E"/>
          <w:sz w:val="20"/>
          <w:szCs w:val="20"/>
        </w:rPr>
        <w:t>Prenez contact avec nous avant d’envoyer cette fiche d’inscription et de faire le virement bancaire, pour vérifier si le stage n’est pas complet.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/>
          <w:i/>
          <w:iCs/>
          <w:color w:val="C9211E"/>
        </w:rPr>
      </w:pPr>
      <w:r>
        <w:rPr>
          <w:rFonts w:ascii="URW Gothic" w:hAnsi="URW Gothic"/>
          <w:b w:val="false"/>
          <w:bCs w:val="false"/>
          <w:i/>
          <w:iCs/>
          <w:color w:val="C9211E"/>
        </w:rPr>
      </w:r>
    </w:p>
    <w:p>
      <w:pPr>
        <w:pStyle w:val="Normal"/>
        <w:bidi w:val="0"/>
        <w:jc w:val="left"/>
        <w:rPr/>
      </w:pPr>
      <w:r>
        <w:rPr>
          <w:rFonts w:ascii="URW Gothic" w:hAnsi="URW Gothic"/>
          <w:b w:val="false"/>
          <w:bCs w:val="false"/>
          <w:i/>
          <w:iCs/>
          <w:color w:val="C9211E"/>
        </w:rPr>
        <w:t xml:space="preserve"> </w:t>
      </w:r>
      <w:r>
        <w:rPr>
          <w:rFonts w:ascii="URW Gothic" w:hAnsi="URW Gothic"/>
          <w:b w:val="false"/>
          <w:bCs w:val="false"/>
          <w:i w:val="false"/>
          <w:iCs w:val="false"/>
          <w:color w:val="000000"/>
          <w:sz w:val="21"/>
          <w:szCs w:val="21"/>
        </w:rPr>
        <w:t xml:space="preserve">Contact : </w:t>
        <w:tab/>
        <w:tab/>
        <w:tab/>
        <w:tab/>
        <w:t>Norbert DIEBOLD</w:t>
      </w:r>
    </w:p>
    <w:p>
      <w:pPr>
        <w:pStyle w:val="Normal"/>
        <w:bidi w:val="0"/>
        <w:jc w:val="left"/>
        <w:rPr>
          <w:color w:val="000000"/>
        </w:rPr>
      </w:pPr>
      <w:r>
        <w:rPr>
          <w:rFonts w:ascii="URW Gothic" w:hAnsi="URW Gothic"/>
          <w:b w:val="false"/>
          <w:bCs w:val="false"/>
          <w:i w:val="false"/>
          <w:iCs w:val="false"/>
          <w:color w:val="000000"/>
          <w:sz w:val="21"/>
          <w:szCs w:val="21"/>
        </w:rPr>
        <w:tab/>
        <w:tab/>
        <w:t xml:space="preserve">Tél. </w:t>
        <w:tab/>
        <w:tab/>
        <w:tab/>
        <w:t>+590 6 90 49 63 94</w:t>
      </w:r>
    </w:p>
    <w:p>
      <w:pPr>
        <w:pStyle w:val="Normal"/>
        <w:bidi w:val="0"/>
        <w:jc w:val="left"/>
        <w:rPr/>
      </w:pPr>
      <w:r>
        <w:rPr>
          <w:rFonts w:ascii="URW Gothic" w:hAnsi="URW Gothic"/>
          <w:b w:val="false"/>
          <w:bCs w:val="false"/>
          <w:i w:val="false"/>
          <w:iCs w:val="false"/>
          <w:color w:val="000000"/>
          <w:sz w:val="21"/>
          <w:szCs w:val="21"/>
        </w:rPr>
        <w:tab/>
        <w:tab/>
        <w:t xml:space="preserve">Courriel : </w:t>
        <w:tab/>
        <w:tab/>
      </w:r>
      <w:hyperlink r:id="rId3">
        <w:r>
          <w:rPr>
            <w:rStyle w:val="LienInternet"/>
            <w:rFonts w:ascii="URW Gothic" w:hAnsi="URW Gothic"/>
            <w:b w:val="false"/>
            <w:bCs w:val="false"/>
            <w:i w:val="false"/>
            <w:iCs w:val="false"/>
            <w:color w:val="000000"/>
            <w:sz w:val="21"/>
            <w:szCs w:val="21"/>
          </w:rPr>
          <w:t>info@maison-nonviolence.fr</w:t>
        </w:r>
      </w:hyperlink>
    </w:p>
    <w:p>
      <w:pPr>
        <w:pStyle w:val="Normal"/>
        <w:bidi w:val="0"/>
        <w:jc w:val="left"/>
        <w:rPr/>
      </w:pPr>
      <w:r>
        <w:rPr>
          <w:rFonts w:ascii="URW Gothic" w:hAnsi="URW Gothic"/>
          <w:b w:val="false"/>
          <w:bCs w:val="false"/>
          <w:i w:val="false"/>
          <w:iCs w:val="false"/>
          <w:color w:val="000000"/>
          <w:sz w:val="21"/>
          <w:szCs w:val="21"/>
        </w:rPr>
        <w:tab/>
        <w:tab/>
        <w:t xml:space="preserve">Site Internet : </w:t>
        <w:tab/>
        <w:tab/>
      </w:r>
      <w:r>
        <w:rPr>
          <w:rStyle w:val="LienInternet"/>
          <w:rFonts w:ascii="URW Gothic" w:hAnsi="URW Gothic"/>
          <w:b w:val="false"/>
          <w:bCs w:val="false"/>
          <w:i w:val="false"/>
          <w:iCs w:val="false"/>
          <w:color w:val="000000"/>
          <w:sz w:val="21"/>
          <w:szCs w:val="21"/>
        </w:rPr>
        <w:t>www.maison-nonviolence.fr</w:t>
      </w:r>
    </w:p>
    <w:p>
      <w:pPr>
        <w:pStyle w:val="Normal"/>
        <w:bidi w:val="0"/>
        <w:jc w:val="center"/>
        <w:rPr>
          <w:rFonts w:ascii="URW Gothic" w:hAnsi="URW Gothic"/>
          <w:b/>
          <w:b/>
          <w:bCs/>
        </w:rPr>
      </w:pPr>
      <w:r>
        <w:rPr>
          <w:rFonts w:ascii="URW Gothic" w:hAnsi="URW Gothic"/>
          <w:b/>
          <w:bCs/>
        </w:rPr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  <w:t>Prénom 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  <w:t>NOM 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  <w:t>Adresse 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  <w:t>Courriel 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  <w:t>Tél. 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  <w:u w:val="single"/>
        </w:rPr>
      </w:pPr>
      <w:r>
        <w:rPr>
          <w:rFonts w:ascii="URW Gothic" w:hAnsi="URW Gothic"/>
          <w:b/>
          <w:bCs/>
          <w:sz w:val="21"/>
          <w:szCs w:val="21"/>
          <w:u w:val="single"/>
        </w:rPr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  <w:u w:val="single"/>
        </w:rPr>
      </w:pPr>
      <w:r>
        <w:rPr>
          <w:rFonts w:ascii="URW Gothic" w:hAnsi="URW Gothic"/>
          <w:b/>
          <w:bCs/>
          <w:sz w:val="21"/>
          <w:szCs w:val="21"/>
          <w:u w:val="single"/>
        </w:rPr>
        <w:t>Modalités d’inscriptions :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  <w:u w:val="single"/>
        </w:rPr>
      </w:pPr>
      <w:r>
        <w:rPr>
          <w:rFonts w:ascii="URW Gothic" w:hAnsi="URW Gothic"/>
          <w:b/>
          <w:bCs/>
          <w:sz w:val="21"/>
          <w:szCs w:val="21"/>
          <w:u w:val="single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  <w:t>- Nous proposons ce stage, constitué d’une journée d’introduction, des 3 modules de bases CNV et d’un module d’approfondissement, une seule fois par an pour une cotisation de 50€.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  <w:t>- Cette formation est limitée à 25 personnes.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  <w:t>- les horaires sont de 9h00 à 12h00 et de 13h00 à 16h00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  <w:t>- Le lieu est : Maison de la NonViolence de Guadeloupe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  <w:tab/>
        <w:t xml:space="preserve">          9 rue de Chemin neuf à Pointe à Pitre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i w:val="false"/>
          <w:i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>- Inscription aux modules :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 xml:space="preserve">Nous vous conseillons de suivre l’intégralité des modules pour profiter de cette occasion et faire partie du premier petit groupe de la Maison de la NonViolence de Guadeloupe. 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>Il vous est aussi possible de vous inscrire à un ou plusieurs modules indépendamment, à partir du moment où vous avez déjà participé ailleurs aux modules précédents. Par exemple, si vous souhaitez suivre le module 3 et l’approfondissement, vous devez avoir suivi ailleurs les modules 1 et 2. Je vous conseille de faire dans tous les cas, la journée d’introduction. Le tarif restera le même de 50€.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>- Prise en compte de l’inscription :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>L’inscription est prise en compte dès le virement bancaire effectué.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>- Renvoyez nous cette fiche d’inscription après nous avoir appelé et avoir fait le virement bancaire.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  <w:t xml:space="preserve">- Vous recevrez un courriel de confirmation. </w:t>
      </w:r>
    </w:p>
    <w:p>
      <w:pPr>
        <w:pStyle w:val="Normal"/>
        <w:bidi w:val="0"/>
        <w:jc w:val="left"/>
        <w:rPr>
          <w:rFonts w:ascii="URW Gothic" w:hAnsi="URW Gothic"/>
          <w:b w:val="false"/>
          <w:b w:val="false"/>
          <w:bCs w:val="false"/>
          <w:sz w:val="21"/>
          <w:szCs w:val="21"/>
        </w:rPr>
      </w:pPr>
      <w:r>
        <w:rPr>
          <w:rFonts w:ascii="URW Gothic" w:hAnsi="URW Gothic"/>
          <w:b w:val="false"/>
          <w:bCs w:val="false"/>
          <w:sz w:val="21"/>
          <w:szCs w:val="21"/>
        </w:rPr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  <w:u w:val="single"/>
        </w:rPr>
        <w:t>Je m’inscris à :</w:t>
      </w:r>
      <w:r>
        <w:rPr>
          <w:rFonts w:ascii="URW Gothic" w:hAnsi="URW Gothic"/>
          <w:b/>
          <w:bCs/>
          <w:sz w:val="21"/>
          <w:szCs w:val="21"/>
        </w:rPr>
        <w:t xml:space="preserve">  </w:t>
      </w:r>
      <w:r>
        <w:rPr>
          <w:rFonts w:ascii="URW Gothic" w:hAnsi="URW Gothic"/>
          <w:b w:val="false"/>
          <w:bCs w:val="false"/>
          <w:sz w:val="21"/>
          <w:szCs w:val="21"/>
        </w:rPr>
        <w:t>cocher les cases (les 4 cases pour suivre tout le seminaire)</w:t>
      </w:r>
    </w:p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</w:r>
    </w:p>
    <w:tbl>
      <w:tblPr>
        <w:tblW w:w="9595" w:type="dxa"/>
        <w:jc w:val="left"/>
        <w:tblInd w:w="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9197"/>
      </w:tblGrid>
      <w:tr>
        <w:trPr/>
        <w:tc>
          <w:tcPr>
            <w:tcW w:w="3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4"/>
                <w:szCs w:val="24"/>
              </w:rPr>
            </w:pPr>
            <w:r>
              <w:rPr>
                <w:rFonts w:ascii="URW Gothic" w:hAnsi="URW Gothic"/>
                <w:sz w:val="24"/>
                <w:szCs w:val="24"/>
              </w:rPr>
              <w:t>O</w:t>
            </w:r>
          </w:p>
        </w:tc>
        <w:tc>
          <w:tcPr>
            <w:tcW w:w="91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/>
            </w:pPr>
            <w:r>
              <w:rPr>
                <w:rFonts w:ascii="URW Gothic" w:hAnsi="URW Gothic"/>
                <w:sz w:val="21"/>
                <w:szCs w:val="21"/>
              </w:rPr>
              <w:t>Le 09/02/26 : Journée d’introduction et le 10 et 11/02/26 : module 1 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4"/>
                <w:szCs w:val="24"/>
              </w:rPr>
            </w:pPr>
            <w:r>
              <w:rPr>
                <w:rFonts w:ascii="URW Gothic" w:hAnsi="URW Gothic"/>
                <w:sz w:val="24"/>
                <w:szCs w:val="24"/>
              </w:rPr>
              <w:t>O</w:t>
            </w:r>
          </w:p>
        </w:tc>
        <w:tc>
          <w:tcPr>
            <w:tcW w:w="91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/>
            </w:pPr>
            <w:r>
              <w:rPr>
                <w:rFonts w:ascii="URW Gothic" w:hAnsi="URW Gothic"/>
                <w:sz w:val="21"/>
                <w:szCs w:val="21"/>
              </w:rPr>
              <w:t>Le 09/02/26 : Journée d’introduction et le 12 et 13/02/26 : module 2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4"/>
                <w:szCs w:val="24"/>
              </w:rPr>
            </w:pPr>
            <w:r>
              <w:rPr>
                <w:rFonts w:ascii="URW Gothic" w:hAnsi="URW Gothic"/>
                <w:sz w:val="24"/>
                <w:szCs w:val="24"/>
              </w:rPr>
              <w:t>O</w:t>
            </w:r>
          </w:p>
        </w:tc>
        <w:tc>
          <w:tcPr>
            <w:tcW w:w="91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/>
            </w:pPr>
            <w:r>
              <w:rPr>
                <w:rFonts w:ascii="URW Gothic" w:hAnsi="URW Gothic"/>
                <w:sz w:val="21"/>
                <w:szCs w:val="21"/>
              </w:rPr>
              <w:t>Le 09/02/26 : Journée d’introduction et le 14 et 15/02/26 : module 3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4"/>
                <w:szCs w:val="24"/>
              </w:rPr>
            </w:pPr>
            <w:r>
              <w:rPr>
                <w:rFonts w:ascii="URW Gothic" w:hAnsi="URW Gothic"/>
                <w:sz w:val="24"/>
                <w:szCs w:val="24"/>
              </w:rPr>
              <w:t>O</w:t>
            </w:r>
          </w:p>
        </w:tc>
        <w:tc>
          <w:tcPr>
            <w:tcW w:w="91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/>
            </w:pPr>
            <w:r>
              <w:rPr>
                <w:rFonts w:ascii="URW Gothic" w:hAnsi="URW Gothic"/>
                <w:sz w:val="21"/>
                <w:szCs w:val="21"/>
              </w:rPr>
              <w:t>Le 09/02/26 : Journée d’introduction et  le 16 et 17/02/26 : module d’approfondissement « La colère »</w:t>
            </w:r>
          </w:p>
        </w:tc>
      </w:tr>
    </w:tbl>
    <w:p>
      <w:pPr>
        <w:pStyle w:val="Normal"/>
        <w:bidi w:val="0"/>
        <w:jc w:val="left"/>
        <w:rPr>
          <w:rFonts w:ascii="URW Gothic" w:hAnsi="URW Gothic"/>
          <w:b/>
          <w:b/>
          <w:bCs/>
          <w:sz w:val="21"/>
          <w:szCs w:val="21"/>
        </w:rPr>
      </w:pPr>
      <w:r>
        <w:rPr>
          <w:rFonts w:ascii="URW Gothic" w:hAnsi="URW Gothic"/>
          <w:b/>
          <w:bCs/>
          <w:sz w:val="21"/>
          <w:szCs w:val="21"/>
        </w:rPr>
      </w:r>
    </w:p>
    <w:tbl>
      <w:tblPr>
        <w:tblW w:w="9595" w:type="dxa"/>
        <w:jc w:val="left"/>
        <w:tblInd w:w="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9197"/>
      </w:tblGrid>
      <w:tr>
        <w:trPr/>
        <w:tc>
          <w:tcPr>
            <w:tcW w:w="3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4"/>
                <w:szCs w:val="24"/>
              </w:rPr>
            </w:pPr>
            <w:r>
              <w:rPr>
                <w:rFonts w:ascii="URW Gothic" w:hAnsi="URW Gothic"/>
                <w:sz w:val="24"/>
                <w:szCs w:val="24"/>
              </w:rPr>
              <w:t>O</w:t>
            </w:r>
          </w:p>
        </w:tc>
        <w:tc>
          <w:tcPr>
            <w:tcW w:w="9197" w:type="dxa"/>
            <w:tcBorders/>
          </w:tcPr>
          <w:p>
            <w:pPr>
              <w:pStyle w:val="Contenudetableau"/>
              <w:widowControl w:val="false"/>
              <w:bidi w:val="0"/>
              <w:jc w:val="left"/>
              <w:rPr>
                <w:rFonts w:ascii="URW Gothic" w:hAnsi="URW Gothic"/>
                <w:sz w:val="21"/>
                <w:szCs w:val="21"/>
              </w:rPr>
            </w:pPr>
            <w:r>
              <w:rPr>
                <w:rFonts w:ascii="URW Gothic" w:hAnsi="URW Gothic"/>
                <w:sz w:val="21"/>
                <w:szCs w:val="21"/>
              </w:rPr>
              <w:t>J’ai fait le virement bancaire de 50€</w:t>
            </w:r>
          </w:p>
        </w:tc>
      </w:tr>
    </w:tbl>
    <w:p>
      <w:pPr>
        <w:pStyle w:val="Normal"/>
        <w:bidi w:val="0"/>
        <w:jc w:val="left"/>
        <w:rPr>
          <w:sz w:val="21"/>
          <w:szCs w:val="21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RW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</w:rPr>
  </w:style>
  <w:style w:type="character" w:styleId="Accentuation">
    <w:name w:val="Accentuation"/>
    <w:qFormat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maison-nonviolence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LibreOffice/7.3.7.2$Linux_X86_64 LibreOffice_project/30$Build-2</Application>
  <AppVersion>15.0000</AppVersion>
  <Pages>1</Pages>
  <Words>358</Words>
  <Characters>1710</Characters>
  <CharactersWithSpaces>2079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2025-11-28T15:19:42Z</dcterms:created>
  <dc:creator/>
  <dc:description/>
  <dc:language>fr-FR</dc:language>
  <cp:lastModifiedBy/>
  <dcterms:modified xsi:type="dcterms:W3CDTF">2025-11-28T09:56:36Z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